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425CDB">
      <w:pPr>
        <w:widowControl w:val="0"/>
        <w:autoSpaceDE w:val="0"/>
        <w:autoSpaceDN w:val="0"/>
        <w:spacing w:after="0" w:line="245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BD3DE8" w:rsidRPr="003525BE" w:rsidRDefault="00BD3DE8" w:rsidP="00425CDB">
      <w:pPr>
        <w:widowControl w:val="0"/>
        <w:autoSpaceDE w:val="0"/>
        <w:autoSpaceDN w:val="0"/>
        <w:spacing w:after="0" w:line="245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 w:rsidR="00BD3DE8" w:rsidRPr="003525BE" w:rsidRDefault="00BD3DE8" w:rsidP="00425CDB">
      <w:pPr>
        <w:widowControl w:val="0"/>
        <w:autoSpaceDE w:val="0"/>
        <w:autoSpaceDN w:val="0"/>
        <w:spacing w:after="0" w:line="245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BD3DE8" w:rsidRPr="003525BE" w:rsidRDefault="00A03F30" w:rsidP="00425CDB">
      <w:pPr>
        <w:widowControl w:val="0"/>
        <w:autoSpaceDE w:val="0"/>
        <w:autoSpaceDN w:val="0"/>
        <w:spacing w:after="0" w:line="245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08.05.2020 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</w:p>
    <w:p w:rsidR="00BD3DE8" w:rsidRPr="003525BE" w:rsidRDefault="00BD3DE8" w:rsidP="00425CDB">
      <w:pPr>
        <w:autoSpaceDE w:val="0"/>
        <w:autoSpaceDN w:val="0"/>
        <w:adjustRightInd w:val="0"/>
        <w:spacing w:after="0" w:line="245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BD3DE8" w:rsidRPr="003525BE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021" w:rsidRPr="00425CDB" w:rsidRDefault="00BD6021" w:rsidP="00425CDB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</w:t>
      </w:r>
    </w:p>
    <w:p w:rsidR="00425CDB" w:rsidRDefault="00BD3DE8" w:rsidP="00425CDB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условиям и срокам отсрочки уплаты арендной платы</w:t>
      </w:r>
      <w:r w:rsidR="0042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2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договорам аренды земельных участков, государственная собственность на которые 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разграничена 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требования применяются к условиям и срокам отсрочки уплаты арендной платы в 2020 году по договорам земельных участков, государственная собственность на которые не разграничена, которые заключены до принятия в 2020 году решения о введении режима повышенной готовности в соответствии с </w:t>
      </w:r>
      <w:hyperlink r:id="rId9" w:history="1">
        <w:r w:rsidRPr="00425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Архангельской области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17.03.2020 № 28-у "О введении на территории Архангельской области режима повышенной готовности для органов управления и</w:t>
      </w:r>
      <w:proofErr w:type="gramEnd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 Архангельской </w:t>
      </w:r>
      <w:r w:rsidRPr="00425CD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территориальной подсистемы единой государственной системы предупреждения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ликвидации чрезвычайных ситуаций и мерах по противодействию распространению на территории Ар</w:t>
      </w:r>
      <w:r w:rsidR="00C920F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хангельской области новой </w:t>
      </w:r>
      <w:proofErr w:type="spellStart"/>
      <w:r w:rsidR="00C920F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корона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вирусной</w:t>
      </w:r>
      <w:proofErr w:type="spellEnd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(COVID-2019)", предоставляемой арендаторам, осуществляющим деятельность в отраслях российской экономики в наибольшей степени пострадавших в условиях ухудшения ситуации в результат</w:t>
      </w:r>
      <w:r w:rsidR="00C920F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распространения новой </w:t>
      </w:r>
      <w:proofErr w:type="spellStart"/>
      <w:r w:rsidR="00C920F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корона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вир</w:t>
      </w:r>
      <w:r w:rsidR="00425CDB">
        <w:rPr>
          <w:rFonts w:ascii="Times New Roman" w:hAnsi="Times New Roman" w:cs="Times New Roman"/>
          <w:color w:val="000000" w:themeColor="text1"/>
          <w:sz w:val="28"/>
          <w:szCs w:val="28"/>
        </w:rPr>
        <w:t>усной</w:t>
      </w:r>
      <w:proofErr w:type="spellEnd"/>
      <w:r w:rsid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 соответствии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0" w:history="1">
        <w:r w:rsidRPr="00425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03.04.2020 № 434.</w:t>
      </w:r>
      <w:proofErr w:type="gramEnd"/>
    </w:p>
    <w:p w:rsidR="00BD3DE8" w:rsidRPr="00425CDB" w:rsidRDefault="00BD3DE8" w:rsidP="00425CDB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Отсрочка предоставляется в течение 30 дней обращения арендатора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hyperlink r:id="rId11" w:history="1">
        <w:r w:rsidRPr="00425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отсрочки уплаты арендной платы по договорам аренды земельных участков, государственная собственность на которые </w:t>
      </w:r>
      <w:r w:rsidR="00A03F30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разграничена, по прилагаемой форме, путем заключения дополнительного соглашения к договору аренды на следующих условиях: </w:t>
      </w:r>
    </w:p>
    <w:p w:rsidR="00BD3DE8" w:rsidRPr="00425CDB" w:rsidRDefault="00BD3DE8" w:rsidP="00425CDB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2.1. для субъектов малого и среднего предпринимательства при наличии условия:</w:t>
      </w:r>
    </w:p>
    <w:p w:rsidR="00BD3DE8" w:rsidRPr="00425CDB" w:rsidRDefault="00BD3DE8" w:rsidP="00425CDB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отвечать требованиям, установленным </w:t>
      </w:r>
      <w:hyperlink r:id="rId12" w:history="1">
        <w:r w:rsidRPr="00425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24.07.2007 № 209-ФЗ "О развитии малого и среднего предпринимательства в Российской Федерации";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2.2. для иных арендаторов: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осуществлять вид экономической деятельности, который является основным, указанный в </w:t>
      </w:r>
      <w:hyperlink r:id="rId13" w:history="1">
        <w:r w:rsidRPr="00425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утвержденном постановлением Правительства Российской Федерации от 03.04.2020 № 434,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1 апреля 2020 года.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Отсрочка предоставляется на срок до 30 сентября 2020 года включительно </w:t>
      </w:r>
      <w:proofErr w:type="gramStart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с даты введения</w:t>
      </w:r>
      <w:proofErr w:type="gramEnd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повышенной опасности на территории Архангельской области по заявлению арендатора, поданному в срок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</w:t>
      </w:r>
      <w:r w:rsidR="00913A6B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включительно, на следующих условиях: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задолженность, образовавшаяся за указанный период, по арендной плате подлежит уплате не ранее 1 января 2021 года и не позднее 1 января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2023 года, поэтапно не чаще одного раза в месяц, не позднее 1</w:t>
      </w:r>
      <w:r w:rsidR="000B5C42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текущего месяца за текущий месяц, равными платежами, размер которых не превышает размера половины ежемесячной арендной платы по договору аренды.</w:t>
      </w:r>
      <w:proofErr w:type="gramEnd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 вправе исполнить обязательства по оплате задолженности досрочно. Досрочная оплата за арендуемые земельные участки осуществляется </w:t>
      </w:r>
      <w:r w:rsidR="00A03F30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заявления арендатора, которая уменьшает срок погашения задолженности;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отсрочка предоставляется </w:t>
      </w:r>
      <w:r w:rsidR="00913A6B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режима повышенной готовности на территории Архангельской области в размере арендной платы </w:t>
      </w:r>
      <w:r w:rsidR="00A03F30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до 30 сентября 2020 года включительно;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A03F30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и сроков внесения арендной платы (в том числе в случаях, если такие меры предусмотрены договором аренды) не применяются на задолженность, которая фиксируется по состоянию на 17 марта 2020 года включительно, при условии подписания акта сверки, на период с даты введения режима повышенной</w:t>
      </w:r>
      <w:proofErr w:type="gramEnd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 на территории Архангельской области до 30 сентября 2020 года включительно;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A03F30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и сроков внесения арендной платы (в том числе в случаях, если такие меры предусмотрены договором аренды) в связи с отсрочкой не применятся;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д)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Условия отсрочки, предусмотренные </w:t>
      </w:r>
      <w:hyperlink w:anchor="Par17" w:history="1">
        <w:r w:rsidRPr="00425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425CDB" w:rsidRDefault="00425CDB" w:rsidP="00425CDB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425CDB" w:rsidRDefault="00C43E04" w:rsidP="00425CDB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43E04" w:rsidRDefault="00C43E04" w:rsidP="00D96BA7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bookmarkStart w:id="0" w:name="_GoBack"/>
      <w:bookmarkEnd w:id="0"/>
    </w:p>
    <w:sectPr w:rsidR="00C43E04" w:rsidSect="00C43E04">
      <w:headerReference w:type="default" r:id="rId14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8A" w:rsidRDefault="006C5D8A" w:rsidP="00274DB7">
      <w:pPr>
        <w:spacing w:after="0" w:line="240" w:lineRule="auto"/>
      </w:pPr>
      <w:r>
        <w:separator/>
      </w:r>
    </w:p>
  </w:endnote>
  <w:endnote w:type="continuationSeparator" w:id="0">
    <w:p w:rsidR="006C5D8A" w:rsidRDefault="006C5D8A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8A" w:rsidRDefault="006C5D8A" w:rsidP="00274DB7">
      <w:pPr>
        <w:spacing w:after="0" w:line="240" w:lineRule="auto"/>
      </w:pPr>
      <w:r>
        <w:separator/>
      </w:r>
    </w:p>
  </w:footnote>
  <w:footnote w:type="continuationSeparator" w:id="0">
    <w:p w:rsidR="006C5D8A" w:rsidRDefault="006C5D8A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B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C5D8A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96BA7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F2700024B1D52D23052E438742F7D8BD40651F7F220CD969D80805C827ADE3AEFDA55E2DBDA054C0F5D14199AA0B0F41BC8E1484E5425EfDx6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9544B6B20876620AB5C7D6F3223DA5DCC482CAAD8C795B8469B9174EAFFA6B340EEFCD95BBCC09B3D7537E5C4091E906709C310FA24E69uBw5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3E6B27CFD37487FE6BC416B732F022DE74302B971193B48D612F65ED79109D96E823952E395C730CD9ADD3F4CA30FCA91A411D44BC048ACE392426K5IF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3E6B27CFD37487FE6BDA1BA15EAE2EDE7A6B2E911699E2D3312932B22916C8D6A825C06D7D51730CD2F882B59469ACEE514C1459A00480KDI0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3E6B27CFD37487FE6BC416B732F022DE74302B971193B68C642F65ED79109D96E823953C39047F0DDAB2D3F9DF66ADEFK4IF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ED00-0FB0-456B-A4EE-4F6CA1DA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2020-11-30T09:29:00Z</dcterms:modified>
</cp:coreProperties>
</file>